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409BE238" w14:textId="6AC66D35" w:rsidR="001E6E5E" w:rsidRDefault="001C5CE4" w:rsidP="001E6E5E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</w:t>
      </w:r>
      <w:r w:rsidR="001E6E5E">
        <w:rPr>
          <w:rFonts w:ascii="Open Sans Light" w:hAnsi="Open Sans Light" w:cs="Open Sans Light"/>
          <w:sz w:val="20"/>
          <w:szCs w:val="20"/>
        </w:rPr>
        <w:t>29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BE34D4">
        <w:rPr>
          <w:rFonts w:ascii="Open Sans Light" w:hAnsi="Open Sans Light" w:cs="Open Sans Light"/>
          <w:sz w:val="20"/>
          <w:szCs w:val="20"/>
        </w:rPr>
        <w:t>3</w:t>
      </w:r>
      <w:r w:rsidR="00EB179C">
        <w:rPr>
          <w:rFonts w:ascii="Open Sans Light" w:hAnsi="Open Sans Light" w:cs="Open Sans Light"/>
          <w:sz w:val="20"/>
          <w:szCs w:val="20"/>
        </w:rPr>
        <w:t xml:space="preserve"> </w:t>
      </w:r>
      <w:r w:rsidR="00104D69" w:rsidRPr="00104D69">
        <w:rPr>
          <w:rFonts w:ascii="Open Sans Light" w:hAnsi="Open Sans Light" w:cs="Open Sans Light"/>
          <w:sz w:val="20"/>
          <w:szCs w:val="20"/>
        </w:rPr>
        <w:t xml:space="preserve">– Interventi di manutenzione programmata per la potatura e l’abbattimento di essenze arboree pericolose e taglio dell’erba infestante </w:t>
      </w:r>
      <w:r w:rsidR="001E6E5E">
        <w:rPr>
          <w:rFonts w:ascii="Open Sans Light" w:hAnsi="Open Sans Light" w:cs="Open Sans Light"/>
          <w:sz w:val="20"/>
          <w:szCs w:val="20"/>
        </w:rPr>
        <w:t xml:space="preserve">nei centri manutentori A-B-C-D. </w:t>
      </w:r>
    </w:p>
    <w:p w14:paraId="59588AFB" w14:textId="43E645E6" w:rsidR="001E6E5E" w:rsidRDefault="001E6E5E" w:rsidP="001E6E5E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CIG: </w:t>
      </w:r>
      <w:r w:rsidRPr="001E6E5E">
        <w:rPr>
          <w:rFonts w:ascii="Open Sans Light" w:hAnsi="Open Sans Light" w:cs="Open Sans Light"/>
          <w:sz w:val="20"/>
          <w:szCs w:val="20"/>
        </w:rPr>
        <w:t>A03913F342</w:t>
      </w:r>
      <w:r>
        <w:rPr>
          <w:rFonts w:ascii="Open Sans Light" w:hAnsi="Open Sans Light" w:cs="Open Sans Light"/>
          <w:sz w:val="20"/>
          <w:szCs w:val="20"/>
        </w:rPr>
        <w:t xml:space="preserve"> – CUP: </w:t>
      </w:r>
      <w:r w:rsidRPr="001E6E5E">
        <w:rPr>
          <w:rFonts w:ascii="Open Sans Light" w:hAnsi="Open Sans Light" w:cs="Open Sans Light"/>
          <w:sz w:val="20"/>
          <w:szCs w:val="20"/>
        </w:rPr>
        <w:t>F87H23001310001</w:t>
      </w:r>
      <w:r>
        <w:rPr>
          <w:rFonts w:ascii="Open Sans Light" w:hAnsi="Open Sans Light" w:cs="Open Sans Light"/>
          <w:sz w:val="20"/>
          <w:szCs w:val="20"/>
        </w:rPr>
        <w:t xml:space="preserve"> – SILWEB: ATMSRM01333</w:t>
      </w:r>
    </w:p>
    <w:p w14:paraId="7765D28B" w14:textId="77777777" w:rsidR="001E6E5E" w:rsidRPr="001C5CE4" w:rsidRDefault="001E6E5E" w:rsidP="00A9358F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240"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CB022E5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B4274E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</w:t>
      </w:r>
      <w:proofErr w:type="spellStart"/>
      <w:r w:rsidRPr="00B145F1">
        <w:rPr>
          <w:rFonts w:ascii="Open Sans Light" w:hAnsi="Open Sans Light" w:cs="Open Sans Light"/>
          <w:b w:val="0"/>
          <w:sz w:val="20"/>
          <w:szCs w:val="20"/>
        </w:rPr>
        <w:t>c.a.p.</w:t>
      </w:r>
      <w:proofErr w:type="spell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proofErr w:type="gramStart"/>
      <w:r w:rsidRPr="00B145F1">
        <w:rPr>
          <w:rFonts w:ascii="Open Sans Light" w:hAnsi="Open Sans Light" w:cs="Open Sans Light"/>
          <w:b w:val="0"/>
          <w:sz w:val="20"/>
          <w:szCs w:val="20"/>
        </w:rPr>
        <w:t>E’</w:t>
      </w:r>
      <w:proofErr w:type="gramEnd"/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84425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84425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84425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844254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57F03D37" w14:textId="44FA6DC0" w:rsidR="00844254" w:rsidRDefault="00844254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C03F397" w14:textId="0AB6E13B" w:rsidR="00844254" w:rsidRPr="00B145F1" w:rsidRDefault="00844254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36DDC1F">
          <v:rect id="_x0000_s1033" style="position:absolute;left:0;text-align:left;margin-left:1.8pt;margin-top:3.9pt;width:7.1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>
        <w:rPr>
          <w:rFonts w:ascii="Open Sans Light" w:hAnsi="Open Sans Light" w:cs="Open Sans Light"/>
          <w:b w:val="0"/>
          <w:sz w:val="20"/>
          <w:szCs w:val="20"/>
        </w:rPr>
        <w:t>Avvalimento (</w:t>
      </w:r>
      <w:r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in tale caso indicare </w:t>
      </w:r>
      <w:bookmarkStart w:id="0" w:name="_Hlk153206421"/>
      <w:r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il nominativo della </w:t>
      </w:r>
      <w:r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società ausiliaria</w:t>
      </w:r>
      <w:r w:rsidRPr="00844254">
        <w:rPr>
          <w:rFonts w:ascii="Open Sans Light" w:hAnsi="Open Sans Light" w:cs="Open Sans Light"/>
          <w:b w:val="0"/>
          <w:sz w:val="20"/>
          <w:szCs w:val="20"/>
          <w:u w:val="single"/>
        </w:rPr>
        <w:t xml:space="preserve"> </w:t>
      </w:r>
      <w:r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pena inammissibilità della richiesta di partecipazione alla successiva procedura negoziata</w:t>
      </w:r>
      <w:bookmarkEnd w:id="0"/>
      <w:r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)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599BBA93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 xml:space="preserve">di qualificazione Lavori (SOA) per la categoria </w:t>
      </w:r>
      <w:r w:rsidR="001C5CE4" w:rsidRPr="00763496">
        <w:rPr>
          <w:rFonts w:ascii="Open Sans Light" w:hAnsi="Open Sans Light" w:cs="Open Sans Light"/>
          <w:lang w:eastAsia="it-IT"/>
        </w:rPr>
        <w:t>OS2</w:t>
      </w:r>
      <w:r w:rsidRPr="00763496">
        <w:rPr>
          <w:rFonts w:ascii="Open Sans Light" w:hAnsi="Open Sans Light" w:cs="Open Sans Light"/>
          <w:lang w:eastAsia="it-IT"/>
        </w:rPr>
        <w:t>4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BE34D4" w:rsidRPr="00763496">
        <w:rPr>
          <w:rFonts w:ascii="Open Sans Light" w:hAnsi="Open Sans Light" w:cs="Open Sans Light"/>
          <w:lang w:eastAsia="it-IT"/>
        </w:rPr>
        <w:t>II</w:t>
      </w:r>
      <w:r w:rsidR="001E6E5E">
        <w:rPr>
          <w:rFonts w:ascii="Open Sans Light" w:hAnsi="Open Sans Light" w:cs="Open Sans Light"/>
          <w:lang w:eastAsia="it-IT"/>
        </w:rPr>
        <w:t>-Bis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7E4DE71C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il</w:t>
      </w: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763496">
        <w:rPr>
          <w:rFonts w:ascii="Open Sans Light" w:hAnsi="Open Sans Light" w:cs="Open Sans Light"/>
          <w:b w:val="0"/>
          <w:sz w:val="20"/>
          <w:szCs w:val="20"/>
        </w:rPr>
        <w:t xml:space="preserve"> A191-AZIENDE MANUTENZIONE DEL VERDE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,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</w:t>
      </w:r>
      <w:proofErr w:type="spellStart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lastRenderedPageBreak/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i provvedimenti sanzionatori esecutivi irrogati dall’Autorità Garante della Concorrenza e del Mercato o da altra autorità di settore, adottati nei tre anni antecedenti la data di pubblicazione del bando di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gara;_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adottate_______________________________________________________________, oppure dimostra l’impossibilità di adottare tali misure prima della presentazione dell’offerta (INDICARE MOTIVAZIONE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EVENTUALE DOCUMENTAIZIONE)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DICHIARA CHE adotta le misure di self </w:t>
      </w:r>
      <w:proofErr w:type="spell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cleaning</w:t>
      </w:r>
      <w:proofErr w:type="spell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_________________________________________che è stato impossibilitato </w:t>
      </w:r>
      <w:proofErr w:type="gramStart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ad</w:t>
      </w:r>
      <w:proofErr w:type="gramEnd"/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e del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D.Lgs.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196/2003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>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 xml:space="preserve">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l’assenza delle cause ostative di cui all’art. 5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</w:rPr>
        <w:t>duodecies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del Regolamento (UE) n. 833/2014 del 31 luglio 2014, concernente misure restrittive in considerazione delle azioni della Russia che destabilizzano la situazione in Ucraina, come modificato dal Regolamento 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 xml:space="preserve">di aver assolto agli obblighi di cui alla legge n. 68/1999 e </w:t>
      </w:r>
      <w:proofErr w:type="spellStart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ss.mm.ii</w:t>
      </w:r>
      <w:proofErr w:type="spellEnd"/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4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1E6E5E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22E68"/>
    <w:rsid w:val="00325D36"/>
    <w:rsid w:val="003422BC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4425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358F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4274E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179C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8309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39</cp:revision>
  <cp:lastPrinted>2018-01-20T09:46:00Z</cp:lastPrinted>
  <dcterms:created xsi:type="dcterms:W3CDTF">2018-02-20T12:19:00Z</dcterms:created>
  <dcterms:modified xsi:type="dcterms:W3CDTF">2023-12-11T16:01:00Z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