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1DB528D8" w14:textId="77777777" w:rsidR="00BF5EC7" w:rsidRPr="00B145F1" w:rsidRDefault="00BF5EC7" w:rsidP="00775BE6">
      <w:pPr>
        <w:autoSpaceDE w:val="0"/>
        <w:autoSpaceDN w:val="0"/>
        <w:adjustRightInd w:val="0"/>
        <w:spacing w:line="280" w:lineRule="exact"/>
        <w:ind w:firstLine="0"/>
        <w:rPr>
          <w:rFonts w:ascii="Open Sans Light" w:hAnsi="Open Sans Light" w:cs="Open Sans Light"/>
          <w:sz w:val="20"/>
          <w:szCs w:val="20"/>
        </w:rPr>
      </w:pPr>
    </w:p>
    <w:p w14:paraId="59588AFB" w14:textId="64433E45" w:rsidR="001E6E5E" w:rsidRDefault="001C5CE4" w:rsidP="006C7A75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</w:t>
      </w:r>
      <w:r w:rsidR="00F03DC7">
        <w:rPr>
          <w:rFonts w:ascii="Open Sans Light" w:hAnsi="Open Sans Light" w:cs="Open Sans Light"/>
          <w:sz w:val="20"/>
          <w:szCs w:val="20"/>
        </w:rPr>
        <w:t>0</w:t>
      </w:r>
      <w:r w:rsidR="00EE6820">
        <w:rPr>
          <w:rFonts w:ascii="Open Sans Light" w:hAnsi="Open Sans Light" w:cs="Open Sans Light"/>
          <w:sz w:val="20"/>
          <w:szCs w:val="20"/>
        </w:rPr>
        <w:t>3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 w:rsidR="00F03DC7">
        <w:rPr>
          <w:rFonts w:ascii="Open Sans Light" w:hAnsi="Open Sans Light" w:cs="Open Sans Light"/>
          <w:sz w:val="20"/>
          <w:szCs w:val="20"/>
        </w:rPr>
        <w:t>4</w:t>
      </w:r>
      <w:r w:rsidR="00CF0C15">
        <w:rPr>
          <w:rFonts w:ascii="Open Sans Light" w:hAnsi="Open Sans Light" w:cs="Open Sans Light"/>
          <w:sz w:val="20"/>
          <w:szCs w:val="20"/>
        </w:rPr>
        <w:t xml:space="preserve"> </w:t>
      </w:r>
      <w:r w:rsidR="00F03DC7">
        <w:rPr>
          <w:rFonts w:ascii="Open Sans Light" w:hAnsi="Open Sans Light" w:cs="Open Sans Light"/>
          <w:sz w:val="20"/>
          <w:szCs w:val="20"/>
        </w:rPr>
        <w:t>–</w:t>
      </w:r>
      <w:r w:rsidR="00CF0C15">
        <w:rPr>
          <w:rFonts w:ascii="Open Sans Light" w:hAnsi="Open Sans Light" w:cs="Open Sans Light"/>
          <w:sz w:val="20"/>
          <w:szCs w:val="20"/>
        </w:rPr>
        <w:t xml:space="preserve"> </w:t>
      </w:r>
      <w:r w:rsidR="00F03DC7">
        <w:rPr>
          <w:rFonts w:ascii="Open Sans Light" w:hAnsi="Open Sans Light" w:cs="Open Sans Light"/>
          <w:sz w:val="20"/>
          <w:szCs w:val="20"/>
        </w:rPr>
        <w:t xml:space="preserve">SS.SS. 7 - 699 - </w:t>
      </w:r>
      <w:r w:rsidR="00CF0C15" w:rsidRPr="00CF0C15">
        <w:rPr>
          <w:rFonts w:ascii="Open Sans Light" w:hAnsi="Open Sans Light" w:cs="Open Sans Light"/>
          <w:sz w:val="20"/>
          <w:szCs w:val="20"/>
        </w:rPr>
        <w:t xml:space="preserve">Interventi di manutenzione straordinaria </w:t>
      </w:r>
      <w:r w:rsidR="00F03DC7">
        <w:rPr>
          <w:rFonts w:ascii="Open Sans Light" w:hAnsi="Open Sans Light" w:cs="Open Sans Light"/>
          <w:sz w:val="20"/>
          <w:szCs w:val="20"/>
        </w:rPr>
        <w:t>per l’abbattimento, potatura di essenze arboree pericolose e pulizia pertinenze stradali in tratti saltuari</w:t>
      </w:r>
      <w:r w:rsidR="00CF0C15" w:rsidRPr="00CF0C15">
        <w:rPr>
          <w:rFonts w:ascii="Open Sans Light" w:hAnsi="Open Sans Light" w:cs="Open Sans Light"/>
          <w:sz w:val="20"/>
          <w:szCs w:val="20"/>
        </w:rPr>
        <w:t xml:space="preserve"> – Cod. CIG </w:t>
      </w:r>
      <w:r w:rsidR="00B749FA">
        <w:rPr>
          <w:rFonts w:ascii="Open Sans Light" w:hAnsi="Open Sans Light" w:cs="Open Sans Light"/>
          <w:bCs w:val="0"/>
          <w:color w:val="000000"/>
          <w:sz w:val="20"/>
          <w:szCs w:val="20"/>
        </w:rPr>
        <w:t>B03A1133E6</w:t>
      </w:r>
      <w:r w:rsidR="00CF0C15">
        <w:rPr>
          <w:rFonts w:ascii="Open Sans Light" w:hAnsi="Open Sans Light" w:cs="Open Sans Light"/>
          <w:sz w:val="20"/>
          <w:szCs w:val="20"/>
        </w:rPr>
        <w:t xml:space="preserve"> – </w:t>
      </w:r>
      <w:r w:rsidR="00F03DC7">
        <w:rPr>
          <w:rFonts w:ascii="Open Sans Light" w:hAnsi="Open Sans Light" w:cs="Open Sans Light"/>
          <w:sz w:val="20"/>
          <w:szCs w:val="20"/>
        </w:rPr>
        <w:t>ATMSRM00903</w:t>
      </w:r>
      <w:r w:rsidR="00CF0C15">
        <w:rPr>
          <w:rFonts w:ascii="Open Sans Light" w:hAnsi="Open Sans Light" w:cs="Open Sans Light"/>
          <w:sz w:val="20"/>
          <w:szCs w:val="20"/>
        </w:rPr>
        <w:t xml:space="preserve"> – CUP </w:t>
      </w:r>
      <w:r w:rsidR="00F03DC7">
        <w:rPr>
          <w:rFonts w:ascii="Open Sans Light" w:hAnsi="Open Sans Light" w:cs="Open Sans Light"/>
          <w:sz w:val="20"/>
          <w:szCs w:val="20"/>
        </w:rPr>
        <w:t>F47H23005360001</w:t>
      </w:r>
    </w:p>
    <w:p w14:paraId="7765D28B" w14:textId="77777777" w:rsidR="001E6E5E" w:rsidRPr="001C5CE4" w:rsidRDefault="001E6E5E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CB022E5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B4274E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E’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B749F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B749F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B749F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B749F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57F03D37" w14:textId="44FA6DC0" w:rsidR="00844254" w:rsidRDefault="00B749FA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5C03F397" w14:textId="0AB6E13B" w:rsidR="00844254" w:rsidRPr="00B145F1" w:rsidRDefault="00B749FA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36DDC1F">
          <v:rect id="_x0000_s1033" style="position:absolute;left:0;text-align:left;margin-left:1.8pt;margin-top:3.9pt;width:7.15pt;height:7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844254">
        <w:rPr>
          <w:rFonts w:ascii="Open Sans Light" w:hAnsi="Open Sans Light" w:cs="Open Sans Light"/>
          <w:b w:val="0"/>
          <w:sz w:val="20"/>
          <w:szCs w:val="20"/>
        </w:rPr>
        <w:t>Avvalimento (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in tale caso indicare </w:t>
      </w:r>
      <w:bookmarkStart w:id="0" w:name="_Hlk153206421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il nominativo della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società ausiliaria</w:t>
      </w:r>
      <w:r w:rsidR="00844254" w:rsidRPr="00844254">
        <w:rPr>
          <w:rFonts w:ascii="Open Sans Light" w:hAnsi="Open Sans Light" w:cs="Open Sans Light"/>
          <w:b w:val="0"/>
          <w:sz w:val="20"/>
          <w:szCs w:val="20"/>
          <w:u w:val="single"/>
        </w:rPr>
        <w:t xml:space="preserve">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pena inammissibilità della richiesta di partecipazione alla successiva procedura negoziata</w:t>
      </w:r>
      <w:bookmarkEnd w:id="0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)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6CF59555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n caso di partecipazione 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sotto forma di RTI /Consorzio /GEIE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/Avvalimento, i soggetti componenti l’RTI/Consorzio/GEIE/Avvalimento,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dovranno rilasciare autonoma dichiarazione, rispetto 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 requisiti posseduti, tramite il presente formulario</w:t>
      </w:r>
      <w:r w:rsid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a pena inammissibilità della richiesta di partecipazione alla successiva procedura negoziata</w:t>
      </w: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4B614DFD" w14:textId="41551D2F" w:rsidR="001C5CE4" w:rsidRPr="00763496" w:rsidRDefault="00D250A8" w:rsidP="00D250A8">
      <w:pPr>
        <w:pStyle w:val="Paragrafoelenco"/>
        <w:numPr>
          <w:ilvl w:val="0"/>
          <w:numId w:val="17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  <w:r w:rsidRPr="00763496">
        <w:rPr>
          <w:rFonts w:ascii="Open Sans Light" w:hAnsi="Open Sans Light" w:cs="Open Sans Light"/>
        </w:rPr>
        <w:t xml:space="preserve">Di essere in possesso </w:t>
      </w:r>
      <w:r w:rsidR="001C5CE4" w:rsidRPr="00763496">
        <w:rPr>
          <w:rFonts w:ascii="Open Sans Light" w:eastAsia="MS Mincho" w:hAnsi="Open Sans Light" w:cs="Open Sans Light"/>
        </w:rPr>
        <w:t xml:space="preserve">di qualificazione Lavori (SOA) per la categoria </w:t>
      </w:r>
      <w:r w:rsidR="001C5CE4" w:rsidRPr="00763496">
        <w:rPr>
          <w:rFonts w:ascii="Open Sans Light" w:hAnsi="Open Sans Light" w:cs="Open Sans Light"/>
          <w:lang w:eastAsia="it-IT"/>
        </w:rPr>
        <w:t>OS2</w:t>
      </w:r>
      <w:r w:rsidRPr="00763496">
        <w:rPr>
          <w:rFonts w:ascii="Open Sans Light" w:hAnsi="Open Sans Light" w:cs="Open Sans Light"/>
          <w:lang w:eastAsia="it-IT"/>
        </w:rPr>
        <w:t>4</w:t>
      </w:r>
      <w:r w:rsidR="001C5CE4" w:rsidRPr="00763496">
        <w:rPr>
          <w:rFonts w:ascii="Open Sans Light" w:hAnsi="Open Sans Light" w:cs="Open Sans Light"/>
          <w:lang w:eastAsia="it-IT"/>
        </w:rPr>
        <w:t xml:space="preserve"> - Classifica I</w:t>
      </w:r>
      <w:r w:rsidR="00CF0C15">
        <w:rPr>
          <w:rFonts w:ascii="Open Sans Light" w:hAnsi="Open Sans Light" w:cs="Open Sans Light"/>
          <w:lang w:eastAsia="it-IT"/>
        </w:rPr>
        <w:t>V</w:t>
      </w:r>
    </w:p>
    <w:p w14:paraId="26207C84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</w:p>
    <w:p w14:paraId="4755937E" w14:textId="7E4DE71C" w:rsidR="00D250A8" w:rsidRPr="00763496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 al personale dipendente impiegato nell’appalto 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il</w:t>
      </w: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CCNL</w:t>
      </w:r>
      <w:r w:rsidR="00104D69" w:rsidRPr="00763496">
        <w:rPr>
          <w:rFonts w:ascii="Open Sans Light" w:hAnsi="Open Sans Light" w:cs="Open Sans Light"/>
          <w:b w:val="0"/>
          <w:sz w:val="20"/>
          <w:szCs w:val="20"/>
        </w:rPr>
        <w:t xml:space="preserve"> A191-AZIENDE MANUTENZIONE DEL VERDE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, ai sensi dell’art. 1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1, co. 2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del </w:t>
      </w:r>
      <w:proofErr w:type="spellStart"/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D.Lgs.</w:t>
      </w:r>
      <w:proofErr w:type="spellEnd"/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36/2023</w:t>
      </w:r>
    </w:p>
    <w:p w14:paraId="390823D0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763496">
        <w:rPr>
          <w:rFonts w:ascii="Open Sans Light" w:hAnsi="Open Sans Light" w:cs="Open Sans Light"/>
          <w:bCs w:val="0"/>
          <w:sz w:val="20"/>
          <w:szCs w:val="20"/>
        </w:rPr>
        <w:t>oppure</w:t>
      </w:r>
    </w:p>
    <w:p w14:paraId="0852B0A4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al personale dipendente impiegato nell’appalto il seguente CCNL___________________________ indentificato con il codice alfanumerico unico di cui all’art. 16 quater del D.L. 76/2020 diverso da quello indicato dalla Stazione Appaltante ma garantisce le medesime tutele del CCNL indicato dalla Stazione Appaltante e la sua equivalenza.</w:t>
      </w:r>
    </w:p>
    <w:p w14:paraId="674F4164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inoltre ai sensi dell’art. 102 del codice di garantire l’applicazione dei contratti collettivi nazionali e territoriali di settore, tenendo conto, in relazione all’oggetto dell’appalto e alle prestazioni da eseguire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668C93E9" w14:textId="604E76D1" w:rsidR="00D250A8" w:rsidRPr="00B749FA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  di non incorrere nelle cause automatiche e non automatiche di esclusione di cui agli artt.  94 e 95 del D. Lgs. 36/2023.</w:t>
      </w:r>
    </w:p>
    <w:p w14:paraId="3D31203E" w14:textId="20AECF14" w:rsidR="00B749FA" w:rsidRPr="00D250A8" w:rsidRDefault="00B749FA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96A2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le dichiarazioni in ordine all’insussistenza delle cause automatiche di esclusione di cui all’articolo 94 commi 1 e 2 del codice ed in ordine all’insussistenza delle cause non automatiche di esclusione di cui all’art. 98, comma 3, lettere g) ed h) del codice, sono dal </w:t>
      </w:r>
      <w:r w:rsidRPr="00696A2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lastRenderedPageBreak/>
        <w:t>sottoscritto rese con il presente documento anche in relazione a tutti i soggetti indicati al comma 3 del medesimo articolo del codice</w:t>
      </w:r>
    </w:p>
    <w:p w14:paraId="3A1331C7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[</w:t>
      </w:r>
      <w:r w:rsidRPr="00D250A8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eventuale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] Con riferimento alle cause di esclusione di cui all’articolo 95, il concorrente dichiara: </w:t>
      </w:r>
    </w:p>
    <w:p w14:paraId="0D697ADC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</w:p>
    <w:p w14:paraId="229AFC0D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le gravi infrazioni di cui all’articolo 95, comma 1 lettera a) commesse nei tre anni antecedenti la data di pubblicazione del bando di gara_________________________________________________________________________________________________</w:t>
      </w:r>
    </w:p>
    <w:p w14:paraId="2EC4460E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gli atti con cui il pubblico ministero esercita l’azione penale ai sensi dell’articolo 407-bis, comma 1, del codice di procedura penale (formulazione dell'imputazione o richiesta di rinvio a giudizio) e i provvedimenti cautelari personali o reali del giudice penale, se antecedenti all’esercizio dell’azione penale, adottati in relazione alla contestata commissione dei reati di cui all’articolo 94, comma 1, del codice e alla contestata o accertata commissione dei reati di cui all’articolo 98, comma 4, lettera h) del codice, emessi nei tre anni antecedenti la data di pubblicazione del bando di gara_________________________________________________________</w:t>
      </w:r>
    </w:p>
    <w:p w14:paraId="3AC05DEE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ab/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i provvedimenti sanzionatori esecutivi irrogati dall’Autorità Garante della Concorrenza e del Mercato o da altra autorità di settore, adottati nei tre anni antecedenti la data di pubblicazione del bando di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gara;_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_________________________________________________________</w:t>
      </w:r>
    </w:p>
    <w:p w14:paraId="00E03AF2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-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tutti gli altri comportamenti di cui all’articolo 98, commessi nei tre anni antecedenti la data di pubblicazione del bando di gara._______________________________________________________</w:t>
      </w:r>
    </w:p>
    <w:p w14:paraId="35421455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La dichiarazione di cui sopra deve essere resa anche nel caso di impugnazione in giudizio dei relativi provvedimenti. </w:t>
      </w:r>
    </w:p>
    <w:p w14:paraId="4312C01F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la sussistenza delle cause di esclusione che si sono verificate prima della presentazione dell’offerta e indica le misure di self-</w:t>
      </w:r>
      <w:proofErr w:type="spell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cleaning</w:t>
      </w:r>
      <w:proofErr w:type="spell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adottate_______________________________________________________________, oppure dimostra l’impossibilità di adottare tali misure prima della presentazione dell’offerta (INDICARE MOTIVAZIONE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EVENTUALE DOCUMENTAIZIONE)</w:t>
      </w:r>
    </w:p>
    <w:p w14:paraId="41612FEE" w14:textId="2BD20A16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DICHIARA CHE adotta le misure di self </w:t>
      </w:r>
      <w:proofErr w:type="spell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cleaning</w:t>
      </w:r>
      <w:proofErr w:type="spell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_________________________________________che è stato impossibilitato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ad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adottare prima della presentazione dell’offerta e quelle relative a cause di esclusione che si sono verificate dopo tale momento________________________________</w:t>
      </w:r>
    </w:p>
    <w:p w14:paraId="48788458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 non incorrere nelle ulteriori cause di esclusione di cui all’art. 98 del D. Lgs 36/2023;</w:t>
      </w:r>
    </w:p>
    <w:p w14:paraId="0AD2F735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 dell’articolo 13 e 14 del Regolamento UE 2016/679</w:t>
      </w:r>
      <w:r w:rsidRPr="00D250A8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e del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D.Lgs.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196/2003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ss.mm.ii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>., e che i dati personali raccolti saranno trattati, anche con strumenti informatici, esclusivamente nell’ambito della presente gara</w:t>
      </w:r>
      <w:r w:rsidRPr="00D250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0E0777B1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di essere edotto degli obblighi derivanti dal Codice Etico del Gruppo Ferrovie dello Stato Italiane S.p.A. reperibile sul sito istituzionale di ANAS S.p.A. www.stradeanas.it accedendo al percorso: Home&gt;L’Azienda&lt; Governance e Trasparenza &lt;Documenti Societari e si impegna, in caso di aggiudicazione, ad osservare e a far osservare ai propri dipendenti e collaboratori, per quanto applicabile, il suddetto codice, pena la risoluzione del contratto;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lastRenderedPageBreak/>
        <w:t xml:space="preserve">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Legislativo 8 giugno 2001, n. 231 e dalle Misure integrative di quelle adottate ai sensi del D.lgs. 231/ 2001), consultabile nella citata sezione “Governance e Trasparenza - documenti societari ”; </w:t>
      </w:r>
    </w:p>
    <w:p w14:paraId="4F87742D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l’assenza delle cause ostative di cui all’art. 5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duodecies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del Regolamento (UE) n. 833/2014 del 31 luglio 2014, concernente misure restrittive in considerazione delle azioni della Russia che destabilizzano la situazione in Ucraina, come modificato dal Regolamento (UE) n. 576/2022 del 8 aprile 2022 ed eventuali successivi regolamenti tempo per tempo vigenti;</w:t>
      </w:r>
    </w:p>
    <w:p w14:paraId="06C46AF0" w14:textId="5F66D28A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 xml:space="preserve">di aver assolto agli obblighi di cui alla legge n. 68/1999 e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ss.mm.ii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;</w:t>
      </w:r>
    </w:p>
    <w:p w14:paraId="1F6C31B5" w14:textId="77777777" w:rsidR="00D250A8" w:rsidRPr="00D250A8" w:rsidRDefault="00D250A8" w:rsidP="00D250A8">
      <w:p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4EC"/>
    <w:multiLevelType w:val="hybridMultilevel"/>
    <w:tmpl w:val="64F8E7A2"/>
    <w:lvl w:ilvl="0" w:tplc="0410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0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67B4"/>
    <w:multiLevelType w:val="hybridMultilevel"/>
    <w:tmpl w:val="451EDB8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C8C4B874">
      <w:start w:val="14"/>
      <w:numFmt w:val="bullet"/>
      <w:lvlText w:val="•"/>
      <w:lvlJc w:val="left"/>
      <w:pPr>
        <w:ind w:left="1620" w:hanging="360"/>
      </w:pPr>
      <w:rPr>
        <w:rFonts w:ascii="Open Sans Light" w:eastAsia="Calibri" w:hAnsi="Open Sans Light" w:cs="Open Sans Light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9D66297"/>
    <w:multiLevelType w:val="hybridMultilevel"/>
    <w:tmpl w:val="70224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4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4"/>
  </w:num>
  <w:num w:numId="15">
    <w:abstractNumId w:val="11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4D69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1E6E5E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5F6EAF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C7A75"/>
    <w:rsid w:val="006F2B73"/>
    <w:rsid w:val="006F63C0"/>
    <w:rsid w:val="006F70C8"/>
    <w:rsid w:val="007351B7"/>
    <w:rsid w:val="00753BF1"/>
    <w:rsid w:val="007541E7"/>
    <w:rsid w:val="00754450"/>
    <w:rsid w:val="00757B8D"/>
    <w:rsid w:val="00763496"/>
    <w:rsid w:val="00775BE6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4425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4274E"/>
    <w:rsid w:val="00B62641"/>
    <w:rsid w:val="00B749FA"/>
    <w:rsid w:val="00B75CAD"/>
    <w:rsid w:val="00B91EC1"/>
    <w:rsid w:val="00B93014"/>
    <w:rsid w:val="00B94B15"/>
    <w:rsid w:val="00B95E7C"/>
    <w:rsid w:val="00BA58C4"/>
    <w:rsid w:val="00BC3476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0C15"/>
    <w:rsid w:val="00CF7FD6"/>
    <w:rsid w:val="00D02674"/>
    <w:rsid w:val="00D250A8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EE6820"/>
    <w:rsid w:val="00F02888"/>
    <w:rsid w:val="00F03DC7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8705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Vincenzo Petrone</cp:lastModifiedBy>
  <cp:revision>44</cp:revision>
  <cp:lastPrinted>2018-01-20T09:46:00Z</cp:lastPrinted>
  <dcterms:created xsi:type="dcterms:W3CDTF">2018-02-20T12:19:00Z</dcterms:created>
  <dcterms:modified xsi:type="dcterms:W3CDTF">2024-02-07T09:21:00Z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